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879ED" w14:textId="648FEA50"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A25742">
        <w:rPr>
          <w:lang w:eastAsia="zh-CN"/>
        </w:rPr>
        <w:t>25</w:t>
      </w:r>
      <w:r w:rsidR="00F001B3">
        <w:rPr>
          <w:lang w:eastAsia="zh-CN"/>
        </w:rPr>
        <w:t xml:space="preserve"> de </w:t>
      </w:r>
      <w:r w:rsidR="005E5857">
        <w:rPr>
          <w:lang w:eastAsia="zh-CN"/>
        </w:rPr>
        <w:t>abril de</w:t>
      </w:r>
      <w:r w:rsidR="00754C42">
        <w:rPr>
          <w:lang w:eastAsia="zh-CN"/>
        </w:rPr>
        <w:t xml:space="preserv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5FF088C2"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A97D5A">
        <w:rPr>
          <w:rFonts w:eastAsia="Times New Roman"/>
          <w:b/>
          <w:sz w:val="32"/>
          <w:szCs w:val="32"/>
          <w:lang w:eastAsia="zh-CN"/>
        </w:rPr>
        <w:t xml:space="preserve"> 1591</w:t>
      </w:r>
    </w:p>
    <w:p w14:paraId="50B108F1" w14:textId="7351672F"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F001B3">
        <w:rPr>
          <w:rFonts w:eastAsia="Times New Roman"/>
          <w:sz w:val="24"/>
          <w:szCs w:val="24"/>
          <w:lang w:eastAsia="es-ES_tradnl"/>
        </w:rPr>
        <w:t>Presencial (</w:t>
      </w:r>
      <w:r w:rsidR="00AE26AB">
        <w:rPr>
          <w:rFonts w:eastAsia="Times New Roman"/>
          <w:sz w:val="24"/>
          <w:szCs w:val="24"/>
          <w:lang w:eastAsia="es-ES_tradnl"/>
        </w:rPr>
        <w:t>Martin García 346 –4to. Piso</w:t>
      </w:r>
      <w:r w:rsidR="005E5857">
        <w:rPr>
          <w:rFonts w:eastAsia="Times New Roman"/>
          <w:sz w:val="24"/>
          <w:szCs w:val="24"/>
          <w:lang w:eastAsia="es-ES_tradnl"/>
        </w:rPr>
        <w:t xml:space="preserve">) </w:t>
      </w:r>
      <w:r w:rsidR="00AE26AB">
        <w:rPr>
          <w:rFonts w:eastAsia="Times New Roman"/>
          <w:sz w:val="24"/>
          <w:szCs w:val="24"/>
          <w:lang w:eastAsia="es-ES_tradnl"/>
        </w:rPr>
        <w:t xml:space="preserve">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5D9A4887"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Sandra Amerise</w:t>
      </w:r>
    </w:p>
    <w:p w14:paraId="1CBEA04B" w14:textId="108D89D7" w:rsidR="00D3261F" w:rsidRPr="00D3261F" w:rsidRDefault="00D3261F" w:rsidP="00D3261F">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Lic. Claudio Bargach</w:t>
      </w:r>
    </w:p>
    <w:p w14:paraId="0A261FCE" w14:textId="31719506"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Paloma Carignani</w:t>
      </w:r>
    </w:p>
    <w:p w14:paraId="7BFCC134"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Guillermo García Fahler</w:t>
      </w:r>
    </w:p>
    <w:p w14:paraId="2A8CD4EA"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Jorge Daniel Goldar</w:t>
      </w:r>
    </w:p>
    <w:p w14:paraId="77D0EA7F"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Dra. Christian Karen Lozzia</w:t>
      </w:r>
    </w:p>
    <w:p w14:paraId="24C11402"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María Celeste Mc Garry</w:t>
      </w:r>
    </w:p>
    <w:p w14:paraId="1E294C99"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Mg. Ec. Urb. Gustavo A. Mosto</w:t>
      </w:r>
    </w:p>
    <w:p w14:paraId="316C4214"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Dra. Maria Isabel Radrizzani Halliburton</w:t>
      </w:r>
      <w:r w:rsidRPr="00F001B3">
        <w:rPr>
          <w:rFonts w:eastAsia="Times New Roman"/>
          <w:sz w:val="24"/>
          <w:szCs w:val="24"/>
          <w:lang w:val="pt-BR" w:eastAsia="zh-CN"/>
        </w:rPr>
        <w:t xml:space="preserve"> </w:t>
      </w:r>
    </w:p>
    <w:p w14:paraId="212FD175" w14:textId="77777777"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Arq. Gastón Rebagliati</w:t>
      </w:r>
    </w:p>
    <w:p w14:paraId="42834753" w14:textId="77777777"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Arq. Daniel Edgardo Sosa</w:t>
      </w:r>
    </w:p>
    <w:p w14:paraId="4154227B" w14:textId="77777777"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Dra. Victoria Velarde</w:t>
      </w:r>
    </w:p>
    <w:p w14:paraId="53BB8EAA" w14:textId="77777777" w:rsidR="00F001B3" w:rsidRPr="00F001B3" w:rsidRDefault="00F001B3" w:rsidP="00F001B3">
      <w:pPr>
        <w:spacing w:after="0" w:line="240" w:lineRule="auto"/>
        <w:ind w:left="1416" w:firstLine="708"/>
        <w:rPr>
          <w:rFonts w:eastAsia="Times New Roman"/>
          <w:b/>
          <w:sz w:val="24"/>
          <w:szCs w:val="24"/>
          <w:lang w:val="es-ES" w:eastAsia="zh-CN"/>
        </w:rPr>
      </w:pPr>
    </w:p>
    <w:p w14:paraId="5D5D029F" w14:textId="77777777" w:rsidR="00F001B3" w:rsidRPr="00F001B3" w:rsidRDefault="00F001B3" w:rsidP="00F001B3">
      <w:pPr>
        <w:spacing w:after="0" w:line="240" w:lineRule="auto"/>
        <w:rPr>
          <w:rFonts w:eastAsia="Times New Roman"/>
          <w:sz w:val="24"/>
          <w:szCs w:val="24"/>
          <w:lang w:val="es-ES" w:eastAsia="zh-CN"/>
        </w:rPr>
      </w:pPr>
      <w:r w:rsidRPr="00F001B3">
        <w:rPr>
          <w:rFonts w:eastAsia="Times New Roman"/>
          <w:b/>
          <w:sz w:val="24"/>
          <w:szCs w:val="24"/>
          <w:lang w:val="es-ES" w:eastAsia="zh-CN"/>
        </w:rPr>
        <w:t xml:space="preserve">Invitada:  </w:t>
      </w:r>
    </w:p>
    <w:p w14:paraId="543A790F" w14:textId="6E049B7B"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 xml:space="preserve">Arq. Victoria Kaufman </w:t>
      </w:r>
    </w:p>
    <w:p w14:paraId="6243127C" w14:textId="77777777" w:rsidR="00F001B3" w:rsidRPr="00F001B3" w:rsidRDefault="00F001B3" w:rsidP="00F001B3">
      <w:pPr>
        <w:spacing w:after="0" w:line="240" w:lineRule="auto"/>
        <w:ind w:left="1416" w:firstLine="708"/>
        <w:rPr>
          <w:rFonts w:eastAsia="Times New Roman"/>
          <w:b/>
          <w:sz w:val="24"/>
          <w:szCs w:val="24"/>
          <w:lang w:val="es-ES" w:eastAsia="zh-CN"/>
        </w:rPr>
      </w:pPr>
    </w:p>
    <w:p w14:paraId="4228F750" w14:textId="77777777" w:rsidR="00F001B3" w:rsidRPr="00F001B3" w:rsidRDefault="00F001B3" w:rsidP="00F001B3">
      <w:pPr>
        <w:spacing w:after="0" w:line="240" w:lineRule="auto"/>
        <w:ind w:left="1416" w:firstLine="708"/>
        <w:rPr>
          <w:rFonts w:eastAsia="Times New Roman"/>
          <w:b/>
          <w:sz w:val="24"/>
          <w:szCs w:val="24"/>
          <w:lang w:val="es-ES" w:eastAsia="zh-CN"/>
        </w:rPr>
      </w:pPr>
    </w:p>
    <w:p w14:paraId="2CF3A205" w14:textId="77777777" w:rsidR="00CA5C2C" w:rsidRDefault="00CA5C2C" w:rsidP="006E29C6">
      <w:pPr>
        <w:spacing w:after="0" w:line="240" w:lineRule="auto"/>
        <w:jc w:val="both"/>
        <w:rPr>
          <w:rFonts w:eastAsia="Times New Roman"/>
          <w:b/>
          <w:sz w:val="24"/>
          <w:szCs w:val="24"/>
          <w:lang w:val="es-ES" w:eastAsia="es-ES_tradnl"/>
        </w:rPr>
      </w:pPr>
    </w:p>
    <w:p w14:paraId="2144A5E9" w14:textId="7BCA099B" w:rsidR="00620411" w:rsidRPr="00620411" w:rsidRDefault="00F001B3" w:rsidP="00620411">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Convocados</w:t>
      </w:r>
      <w:r w:rsidR="00AE26AB">
        <w:rPr>
          <w:rFonts w:eastAsia="Times New Roman"/>
          <w:b/>
          <w:sz w:val="24"/>
          <w:szCs w:val="24"/>
          <w:lang w:val="es-ES" w:eastAsia="es-ES_tradnl"/>
        </w:rPr>
        <w:t>:</w:t>
      </w:r>
      <w:r w:rsidR="00AE26AB">
        <w:rPr>
          <w:rFonts w:eastAsia="Times New Roman"/>
          <w:b/>
          <w:sz w:val="24"/>
          <w:szCs w:val="24"/>
          <w:lang w:val="es-ES" w:eastAsia="es-ES_tradnl"/>
        </w:rPr>
        <w:tab/>
      </w:r>
      <w:r w:rsidR="00AE26AB">
        <w:rPr>
          <w:rFonts w:eastAsia="Times New Roman"/>
          <w:b/>
          <w:sz w:val="24"/>
          <w:szCs w:val="24"/>
          <w:lang w:val="es-ES" w:eastAsia="es-ES_tradnl"/>
        </w:rPr>
        <w:tab/>
      </w:r>
      <w:r w:rsidR="00620411" w:rsidRPr="00620411">
        <w:rPr>
          <w:rFonts w:eastAsia="Times New Roman"/>
          <w:b/>
          <w:color w:val="FF0000"/>
          <w:sz w:val="24"/>
          <w:szCs w:val="24"/>
          <w:lang w:val="es-ES" w:eastAsia="es-ES_tradnl"/>
        </w:rPr>
        <w:tab/>
      </w:r>
    </w:p>
    <w:p w14:paraId="2F498B81" w14:textId="10DF7DA4" w:rsidR="00947AD8" w:rsidRDefault="00620411" w:rsidP="00620411">
      <w:pPr>
        <w:spacing w:after="0" w:line="240" w:lineRule="auto"/>
        <w:ind w:left="1416" w:firstLine="708"/>
        <w:rPr>
          <w:rFonts w:eastAsia="Times New Roman"/>
          <w:b/>
          <w:sz w:val="24"/>
          <w:szCs w:val="24"/>
          <w:lang w:val="es-ES" w:eastAsia="es-ES_tradnl"/>
        </w:rPr>
      </w:pPr>
      <w:r w:rsidRPr="00620411">
        <w:rPr>
          <w:rFonts w:eastAsia="Times New Roman"/>
          <w:b/>
          <w:sz w:val="24"/>
          <w:szCs w:val="24"/>
          <w:lang w:eastAsia="es-ES_tradnl"/>
        </w:rPr>
        <w:t>INTEGRANTES DE LA COMISION ASESORA PERMANENTE</w:t>
      </w:r>
      <w:r w:rsidR="000D3EDD" w:rsidRPr="001E2E19">
        <w:rPr>
          <w:rFonts w:eastAsia="Times New Roman"/>
          <w:b/>
          <w:color w:val="FF0000"/>
          <w:sz w:val="24"/>
          <w:szCs w:val="24"/>
          <w:lang w:val="es-ES" w:eastAsia="es-ES_tradnl"/>
        </w:rPr>
        <w:br/>
      </w:r>
    </w:p>
    <w:p w14:paraId="0C5A9538" w14:textId="77777777" w:rsidR="00F001B3" w:rsidRDefault="00F001B3" w:rsidP="00F001B3">
      <w:pPr>
        <w:spacing w:after="0" w:line="240" w:lineRule="auto"/>
        <w:jc w:val="both"/>
        <w:rPr>
          <w:rFonts w:eastAsia="Times New Roman"/>
          <w:b/>
          <w:sz w:val="24"/>
          <w:szCs w:val="24"/>
          <w:lang w:val="es-ES" w:eastAsia="es-ES_tradnl"/>
        </w:rPr>
      </w:pPr>
    </w:p>
    <w:p w14:paraId="021CCF3C" w14:textId="77777777" w:rsidR="00F001B3" w:rsidRDefault="000D3EDD" w:rsidP="00F001B3">
      <w:pPr>
        <w:spacing w:after="0" w:line="240" w:lineRule="auto"/>
        <w:jc w:val="both"/>
        <w:rPr>
          <w:rFonts w:eastAsia="Times New Roman"/>
          <w:b/>
          <w:sz w:val="24"/>
          <w:szCs w:val="24"/>
          <w:lang w:val="es-ES" w:eastAsia="es-ES_tradnl"/>
        </w:rPr>
      </w:pP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00947AD8">
        <w:rPr>
          <w:rFonts w:eastAsia="Times New Roman"/>
          <w:b/>
          <w:sz w:val="24"/>
          <w:szCs w:val="24"/>
          <w:lang w:val="es-ES" w:eastAsia="es-ES_tradnl"/>
        </w:rPr>
        <w:t xml:space="preserve"> </w:t>
      </w:r>
    </w:p>
    <w:p w14:paraId="071235BB" w14:textId="1FC87B5F" w:rsidR="00F001B3" w:rsidRDefault="006C48D5" w:rsidP="006C48D5">
      <w:pPr>
        <w:spacing w:after="0" w:line="240" w:lineRule="auto"/>
        <w:ind w:left="2127"/>
        <w:jc w:val="both"/>
        <w:rPr>
          <w:rFonts w:eastAsia="Times New Roman"/>
          <w:b/>
          <w:sz w:val="24"/>
          <w:szCs w:val="24"/>
          <w:lang w:val="es-ES" w:eastAsia="es-ES_tradnl"/>
        </w:rPr>
      </w:pPr>
      <w:r>
        <w:rPr>
          <w:rFonts w:eastAsia="Times New Roman"/>
          <w:b/>
          <w:sz w:val="24"/>
          <w:szCs w:val="24"/>
          <w:lang w:val="es-ES" w:eastAsia="es-ES_tradnl"/>
        </w:rPr>
        <w:t>Sra. Graciela Brandariz, Sr. Gullermo Gutierrez Ruzo, Sr. Enrique Linch, Sra. Milagros Sanchez.</w:t>
      </w:r>
    </w:p>
    <w:p w14:paraId="60A3FC95" w14:textId="77777777" w:rsidR="00F001B3" w:rsidRDefault="00F001B3" w:rsidP="00F001B3">
      <w:pPr>
        <w:spacing w:after="0" w:line="240" w:lineRule="auto"/>
        <w:jc w:val="both"/>
        <w:rPr>
          <w:rFonts w:eastAsia="Times New Roman"/>
          <w:b/>
          <w:sz w:val="24"/>
          <w:szCs w:val="24"/>
          <w:lang w:val="es-ES" w:eastAsia="es-ES_tradnl"/>
        </w:rPr>
      </w:pPr>
    </w:p>
    <w:p w14:paraId="0A1B4BB4" w14:textId="77777777" w:rsidR="00F001B3" w:rsidRDefault="00F001B3" w:rsidP="00F001B3">
      <w:pPr>
        <w:spacing w:after="0" w:line="240" w:lineRule="auto"/>
        <w:jc w:val="both"/>
        <w:rPr>
          <w:rFonts w:eastAsia="Times New Roman"/>
          <w:b/>
          <w:sz w:val="24"/>
          <w:szCs w:val="24"/>
          <w:lang w:val="es-ES" w:eastAsia="es-ES_tradnl"/>
        </w:rPr>
      </w:pPr>
    </w:p>
    <w:p w14:paraId="51D10EAF" w14:textId="2646D97C" w:rsidR="00386332" w:rsidRPr="00386332" w:rsidRDefault="00386332" w:rsidP="00F001B3">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0586FD34" w14:textId="77777777" w:rsidR="00386332" w:rsidRDefault="00386332" w:rsidP="006E29C6">
      <w:pPr>
        <w:spacing w:after="0" w:line="240" w:lineRule="auto"/>
        <w:jc w:val="both"/>
        <w:rPr>
          <w:rFonts w:eastAsia="Times New Roman"/>
          <w:b/>
          <w:sz w:val="24"/>
          <w:szCs w:val="24"/>
          <w:lang w:val="es-ES" w:eastAsia="es-ES_tradnl"/>
        </w:rPr>
      </w:pPr>
    </w:p>
    <w:p w14:paraId="26AC74A1" w14:textId="77777777" w:rsidR="00386332" w:rsidRDefault="00386332" w:rsidP="006E29C6">
      <w:pPr>
        <w:spacing w:after="0" w:line="240" w:lineRule="auto"/>
        <w:jc w:val="both"/>
        <w:rPr>
          <w:rFonts w:eastAsia="Times New Roman"/>
          <w:b/>
          <w:sz w:val="24"/>
          <w:szCs w:val="24"/>
          <w:lang w:val="es-ES" w:eastAsia="es-ES_tradnl"/>
        </w:rPr>
      </w:pPr>
    </w:p>
    <w:p w14:paraId="15260C1A" w14:textId="77777777" w:rsidR="00F001B3" w:rsidRDefault="00F001B3" w:rsidP="006E29C6">
      <w:pPr>
        <w:spacing w:after="0" w:line="240" w:lineRule="auto"/>
        <w:jc w:val="both"/>
        <w:rPr>
          <w:rFonts w:eastAsia="Times New Roman"/>
          <w:b/>
          <w:sz w:val="24"/>
          <w:szCs w:val="24"/>
          <w:lang w:val="es-ES" w:eastAsia="es-ES_tradnl"/>
        </w:rPr>
      </w:pPr>
    </w:p>
    <w:p w14:paraId="6FAAF3DF" w14:textId="77777777" w:rsidR="00F001B3" w:rsidRDefault="00F001B3"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1D4ACABA"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A25742">
        <w:rPr>
          <w:rFonts w:eastAsia="Times New Roman" w:cs="Calibri"/>
          <w:sz w:val="24"/>
          <w:szCs w:val="24"/>
          <w:lang w:val="es-ES" w:eastAsia="es-AR"/>
        </w:rPr>
        <w:t>1589</w:t>
      </w:r>
      <w:r w:rsidR="009D66F3">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6178ED9F" w14:textId="650B038C" w:rsidR="000D23D8"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68154C85" w14:textId="77777777" w:rsidR="00106931" w:rsidRDefault="00106931" w:rsidP="00CA6DC0">
      <w:pPr>
        <w:spacing w:after="0" w:line="240" w:lineRule="auto"/>
        <w:jc w:val="both"/>
        <w:rPr>
          <w:rFonts w:eastAsia="Arial" w:cs="Calibri"/>
          <w:sz w:val="24"/>
          <w:szCs w:val="24"/>
          <w:lang w:eastAsia="es-AR"/>
        </w:rPr>
      </w:pPr>
    </w:p>
    <w:p w14:paraId="6F0585AD" w14:textId="26B9B7DB"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 xml:space="preserve">El Consejo Asesor del Plan Urbano Ambiental (CAPUAM) realizó la segunda sesión plenaria correspondiente al mes de abril con la participación de la Comisión Asesora. El tema a tratar fue la propuesta de las acciones para el eje programático “Redes Productivas”. </w:t>
      </w:r>
    </w:p>
    <w:p w14:paraId="3460DE84"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La consejera coordinadora de la actualización del Plan Urbano Ambiental (PUA), Paloma Carignani, hizo un breve resumen de las últimas presentaciones. Agregó que se convocó al Ministerio de Desarrollo Económico para participar del encuentro.</w:t>
      </w:r>
    </w:p>
    <w:p w14:paraId="03452C26"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La consejera Celeste Mc Garry explicó que el eje Redes Productivas tiene 4 iniciativas que organizan las acciones y explicó el modelo territorial surgido del eje mencionado. Arribaron a las siguientes conclusiones:</w:t>
      </w:r>
    </w:p>
    <w:p w14:paraId="0FBB5824"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 xml:space="preserve">El consejero Daniel Sosa, esbozó la primera iniciativa “Asegurar la compatibilidad ambiental de los usos del suelo”, los presentes propusieron abordar lo relacionado con estructura ambiental.También marcaron la diferencia entre el Barrio de Barracas y la Comuna 8, tendrían que tener un tratamiento distinto. Hicieron hincapié en temas importantes a tratar: cargas y descargas de vehículos, depósitos e industrias pesadas. </w:t>
      </w:r>
    </w:p>
    <w:p w14:paraId="2131289C"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En cuanto a “Tecnologías limpias”, aconsejaron que se tendrían que reemplazar los vocablos y obtener como resultado final: “reducir la contaminación para mitigar los efectos del cambio climático”.</w:t>
      </w:r>
    </w:p>
    <w:p w14:paraId="75EFB6BF"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Con respecto a “Economía circular y producción sostenible”, remarcaron que la acción tuvo su origen en los talleres realizados. Señalaron las palabras “impacto ambiental” y “medioambiental”, aclarando que el “medio” y “ambiente” tienen un solo significado, subrayaron que es confuso y que fue un error en la traducción.</w:t>
      </w:r>
    </w:p>
    <w:p w14:paraId="0842A192"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 xml:space="preserve">Posteriormente, en relación a “Incubadoras”, sugirieron que deberían incluir el significado en el glosario del PUA. En cuanto a los “Ecosistemas Productivos”, </w:t>
      </w:r>
      <w:r w:rsidRPr="00CA6DC0">
        <w:rPr>
          <w:rFonts w:eastAsia="Arial" w:cs="Calibri"/>
          <w:sz w:val="24"/>
          <w:szCs w:val="24"/>
          <w:lang w:eastAsia="es-AR"/>
        </w:rPr>
        <w:lastRenderedPageBreak/>
        <w:t>sostuvieron que es una expresión ambigua y que deberían reemplazarla como así también agregarla al glosario.</w:t>
      </w:r>
    </w:p>
    <w:p w14:paraId="7F3D0BF7"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 xml:space="preserve">Al tratar las “Industrias culturales y creativas”, propusieron cambiar la expresión “intensivos” por tecnológicamente “innovadoras”. </w:t>
      </w:r>
    </w:p>
    <w:p w14:paraId="64011031"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Relativo a la “Digitalización” (este tema surgió en los talleres realizados con el COPE), propusieron extraer la palabra “financiera” e incorporar la frase “autonomía de gestión”.</w:t>
      </w:r>
    </w:p>
    <w:p w14:paraId="17D7259C"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 xml:space="preserve">En cuanto a “Impulsar el crecimiento equitativo del empleo”, aconsejaron agregar “accesibilidad de distintas capacidades”. </w:t>
      </w:r>
    </w:p>
    <w:p w14:paraId="33CA842D"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 xml:space="preserve">Destacaron que en “Economía Popular”, fue un tema que surgió en los talleres, específicamente en el de Metropolitano).  </w:t>
      </w:r>
    </w:p>
    <w:p w14:paraId="7B3D7628"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 xml:space="preserve">Respecto a “Evolución del Empleo”, advirtieron revisar el texto y cambiar “capacitación continua para la adaptación a las formas de trabajo”, en lo relativo a la “aplicación digital” sustituirla por “plataformas digitales”. </w:t>
      </w:r>
    </w:p>
    <w:p w14:paraId="7FEAC521"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Resaltaron en “Empleos Verdes”, la necesidad de aclarar que se encuentra relacionado con lo ambiental, de reemplazar la palabra “mitigación” por “contribuir con la reducción de la mitigación y adaptación del cambio climático”.</w:t>
      </w:r>
    </w:p>
    <w:p w14:paraId="6C9972B4" w14:textId="77777777" w:rsidR="00CA6DC0" w:rsidRPr="00CA6DC0" w:rsidRDefault="00CA6DC0" w:rsidP="00CA6DC0">
      <w:pPr>
        <w:spacing w:after="0" w:line="240" w:lineRule="auto"/>
        <w:jc w:val="both"/>
        <w:rPr>
          <w:rFonts w:eastAsia="Arial" w:cs="Calibri"/>
          <w:sz w:val="24"/>
          <w:szCs w:val="24"/>
          <w:lang w:eastAsia="es-AR"/>
        </w:rPr>
      </w:pPr>
      <w:bookmarkStart w:id="1" w:name="_gjdgxs" w:colFirst="0" w:colLast="0"/>
      <w:bookmarkEnd w:id="1"/>
      <w:r w:rsidRPr="00CA6DC0">
        <w:rPr>
          <w:rFonts w:eastAsia="Arial" w:cs="Calibri"/>
          <w:sz w:val="24"/>
          <w:szCs w:val="24"/>
          <w:lang w:eastAsia="es-AR"/>
        </w:rPr>
        <w:t>Por otro lado, respecto a “Facilitar el área central residencial” destacaron que hace referencia a la Ley de Reconvención.</w:t>
      </w:r>
    </w:p>
    <w:p w14:paraId="55D25D00"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En otra línea en cuanto a las “Áreas Comerciales”, indicaron sumar al glosario el significado de “Economías de Aglomeración”.</w:t>
      </w:r>
    </w:p>
    <w:p w14:paraId="02469B5A"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 xml:space="preserve">En cuanto a “Turismo y Gastronomía”, determinaron que es necesario promover el mismo, pero procurando evitar la saturación de uso. </w:t>
      </w:r>
    </w:p>
    <w:p w14:paraId="69C270B5" w14:textId="77777777" w:rsidR="00CA6DC0" w:rsidRPr="00CA6DC0" w:rsidRDefault="00CA6DC0" w:rsidP="00CA6DC0">
      <w:pPr>
        <w:spacing w:after="0" w:line="240" w:lineRule="auto"/>
        <w:jc w:val="both"/>
        <w:rPr>
          <w:rFonts w:eastAsia="Arial" w:cs="Calibri"/>
          <w:sz w:val="24"/>
          <w:szCs w:val="24"/>
          <w:lang w:eastAsia="es-AR"/>
        </w:rPr>
      </w:pPr>
      <w:r w:rsidRPr="00CA6DC0">
        <w:rPr>
          <w:rFonts w:eastAsia="Arial" w:cs="Calibri"/>
          <w:sz w:val="24"/>
          <w:szCs w:val="24"/>
          <w:lang w:eastAsia="es-AR"/>
        </w:rPr>
        <w:t xml:space="preserve">Sugirieron solicitar un informe al Ministerio de Desarrollo Económico para luego compartirlo. </w:t>
      </w:r>
    </w:p>
    <w:p w14:paraId="3560632B" w14:textId="44504519" w:rsidR="005E5857" w:rsidRPr="00D21300" w:rsidRDefault="00CA6DC0" w:rsidP="00D21300">
      <w:pPr>
        <w:spacing w:after="0" w:line="240" w:lineRule="auto"/>
        <w:jc w:val="both"/>
        <w:rPr>
          <w:rFonts w:eastAsia="Arial" w:cs="Calibri"/>
          <w:sz w:val="24"/>
          <w:szCs w:val="24"/>
          <w:lang w:eastAsia="es-AR"/>
        </w:rPr>
      </w:pPr>
      <w:r w:rsidRPr="00CA6DC0">
        <w:rPr>
          <w:rFonts w:eastAsia="Arial" w:cs="Calibri"/>
          <w:sz w:val="24"/>
          <w:szCs w:val="24"/>
          <w:lang w:eastAsia="es-AR"/>
        </w:rPr>
        <w:t>Por último, Carignani, agradeció la participación de los presentes, invitándolos a participar del próximo encuentro que abordará la propuesta para el eje pro</w:t>
      </w:r>
      <w:r w:rsidR="00D21300">
        <w:rPr>
          <w:rFonts w:eastAsia="Arial" w:cs="Calibri"/>
          <w:sz w:val="24"/>
          <w:szCs w:val="24"/>
          <w:lang w:eastAsia="es-AR"/>
        </w:rPr>
        <w:t>gramático Cultura y Patrimonio.</w:t>
      </w:r>
    </w:p>
    <w:p w14:paraId="024313A1" w14:textId="77777777" w:rsidR="005E5857" w:rsidRDefault="005E5857"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14257265" w14:textId="77777777" w:rsidR="00106931" w:rsidRPr="005E5857" w:rsidRDefault="00106931"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7BA24BA1" w14:textId="77777777" w:rsidR="00106931" w:rsidRDefault="00106931" w:rsidP="0072759A">
      <w:pPr>
        <w:suppressAutoHyphens/>
        <w:spacing w:after="0" w:line="240" w:lineRule="auto"/>
        <w:jc w:val="both"/>
        <w:rPr>
          <w:rFonts w:eastAsia="Times New Roman" w:cs="Calibri"/>
          <w:sz w:val="24"/>
          <w:szCs w:val="24"/>
          <w:lang w:val="es-ES" w:eastAsia="es-AR"/>
        </w:rPr>
      </w:pPr>
    </w:p>
    <w:p w14:paraId="1C3C4F82" w14:textId="77777777" w:rsidR="00106931" w:rsidRDefault="00106931" w:rsidP="0072759A">
      <w:pPr>
        <w:suppressAutoHyphens/>
        <w:spacing w:after="0" w:line="240" w:lineRule="auto"/>
        <w:jc w:val="both"/>
        <w:rPr>
          <w:rFonts w:eastAsia="Times New Roman" w:cs="Calibri"/>
          <w:sz w:val="24"/>
          <w:szCs w:val="24"/>
          <w:lang w:val="es-ES" w:eastAsia="es-AR"/>
        </w:rPr>
      </w:pPr>
    </w:p>
    <w:p w14:paraId="50C2F6FB" w14:textId="77777777" w:rsidR="00106931" w:rsidRDefault="00106931" w:rsidP="0072759A">
      <w:pPr>
        <w:suppressAutoHyphens/>
        <w:spacing w:after="0" w:line="240" w:lineRule="auto"/>
        <w:jc w:val="both"/>
        <w:rPr>
          <w:rFonts w:eastAsia="Times New Roman" w:cs="Calibri"/>
          <w:sz w:val="24"/>
          <w:szCs w:val="24"/>
          <w:lang w:val="es-ES" w:eastAsia="es-AR"/>
        </w:rPr>
      </w:pPr>
    </w:p>
    <w:p w14:paraId="6289E355" w14:textId="77777777" w:rsidR="00106931" w:rsidRDefault="00106931" w:rsidP="0072759A">
      <w:pPr>
        <w:suppressAutoHyphens/>
        <w:spacing w:after="0" w:line="240" w:lineRule="auto"/>
        <w:jc w:val="both"/>
        <w:rPr>
          <w:rFonts w:eastAsia="Times New Roman" w:cs="Calibri"/>
          <w:sz w:val="24"/>
          <w:szCs w:val="24"/>
          <w:lang w:val="es-ES" w:eastAsia="es-AR"/>
        </w:rPr>
      </w:pPr>
    </w:p>
    <w:p w14:paraId="5A0DDDB0" w14:textId="77777777" w:rsidR="00D00374" w:rsidRDefault="00D00374" w:rsidP="0072759A">
      <w:pPr>
        <w:suppressAutoHyphens/>
        <w:spacing w:after="0" w:line="240" w:lineRule="auto"/>
        <w:jc w:val="both"/>
        <w:rPr>
          <w:rFonts w:eastAsia="Times New Roman" w:cs="Calibri"/>
          <w:sz w:val="24"/>
          <w:szCs w:val="24"/>
          <w:lang w:val="es-ES" w:eastAsia="es-AR"/>
        </w:rPr>
      </w:pPr>
    </w:p>
    <w:p w14:paraId="06BE555C" w14:textId="0ABB99F4" w:rsidR="00C224F7" w:rsidRPr="0072759A" w:rsidRDefault="0050152C" w:rsidP="0072759A">
      <w:pPr>
        <w:suppressAutoHyphens/>
        <w:spacing w:after="0" w:line="240" w:lineRule="auto"/>
        <w:jc w:val="both"/>
        <w:rPr>
          <w:rFonts w:eastAsia="Times New Roman" w:cs="Calibri"/>
          <w:sz w:val="24"/>
          <w:szCs w:val="24"/>
          <w:lang w:eastAsia="ar-SA"/>
        </w:rPr>
      </w:pPr>
      <w:bookmarkStart w:id="2" w:name="_GoBack"/>
      <w:bookmarkEnd w:id="2"/>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3951AF28" w14:textId="77777777" w:rsidR="00DE3325"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8506" w:type="dxa"/>
        <w:tblInd w:w="-284" w:type="dxa"/>
        <w:tblLayout w:type="fixed"/>
        <w:tblLook w:val="04A0" w:firstRow="1" w:lastRow="0" w:firstColumn="1" w:lastColumn="0" w:noHBand="0" w:noVBand="1"/>
      </w:tblPr>
      <w:tblGrid>
        <w:gridCol w:w="2802"/>
        <w:gridCol w:w="2727"/>
        <w:gridCol w:w="2977"/>
      </w:tblGrid>
      <w:tr w:rsidR="00DE3325" w:rsidRPr="008C5066" w14:paraId="42253A50" w14:textId="77777777" w:rsidTr="007D2464">
        <w:trPr>
          <w:trHeight w:val="1200"/>
        </w:trPr>
        <w:tc>
          <w:tcPr>
            <w:tcW w:w="2802" w:type="dxa"/>
            <w:shd w:val="clear" w:color="auto" w:fill="auto"/>
            <w:hideMark/>
          </w:tcPr>
          <w:p w14:paraId="0DB95FFC" w14:textId="77777777" w:rsidR="00DE3325" w:rsidRPr="008C5066" w:rsidRDefault="00DE3325" w:rsidP="007D2464">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w:t>
            </w:r>
            <w:r w:rsidRPr="007B36C4">
              <w:rPr>
                <w:rFonts w:ascii="Times New Roman" w:eastAsia="Times New Roman" w:hAnsi="Times New Roman"/>
                <w:b/>
                <w:sz w:val="18"/>
                <w:szCs w:val="18"/>
                <w:lang w:eastAsia="es-ES"/>
              </w:rPr>
              <w:t>Sandra Amerise</w:t>
            </w:r>
          </w:p>
          <w:p w14:paraId="1BA400D8" w14:textId="77777777" w:rsidR="00DE3325" w:rsidRPr="008C5066" w:rsidRDefault="00DE3325" w:rsidP="007D2464">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DC11E14" w14:textId="77777777" w:rsidR="00DE3325" w:rsidRPr="008C5066" w:rsidRDefault="00DE3325" w:rsidP="007D2464">
            <w:pPr>
              <w:spacing w:after="0" w:line="240" w:lineRule="auto"/>
              <w:jc w:val="center"/>
              <w:rPr>
                <w:rFonts w:ascii="Times New Roman" w:eastAsia="Times New Roman" w:hAnsi="Times New Roman"/>
                <w:b/>
                <w:sz w:val="18"/>
                <w:szCs w:val="18"/>
                <w:lang w:eastAsia="es-ES"/>
              </w:rPr>
            </w:pPr>
          </w:p>
          <w:p w14:paraId="74ABEDA2" w14:textId="77777777" w:rsidR="00DE3325" w:rsidRPr="008C5066" w:rsidRDefault="00DE3325" w:rsidP="007D2464">
            <w:pPr>
              <w:spacing w:after="0" w:line="240" w:lineRule="auto"/>
              <w:rPr>
                <w:rFonts w:ascii="Times New Roman" w:eastAsia="Times New Roman" w:hAnsi="Times New Roman"/>
                <w:b/>
                <w:sz w:val="18"/>
                <w:szCs w:val="18"/>
                <w:lang w:eastAsia="es-ES"/>
              </w:rPr>
            </w:pPr>
          </w:p>
          <w:p w14:paraId="02C8502C"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9B86640" w14:textId="77777777" w:rsidR="00DE3325" w:rsidRPr="008C5066" w:rsidRDefault="00DE3325" w:rsidP="007D2464">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2377CEC"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75C021C7"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66DCCA66"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F4D95AE" w14:textId="77777777" w:rsidR="00DE3325" w:rsidRPr="008C5066" w:rsidRDefault="00DE3325" w:rsidP="007D246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E73F9E6"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62469D2E"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7D8B40D" w14:textId="4B005DA4" w:rsidR="00DE3325" w:rsidRPr="008C5066" w:rsidRDefault="00DE3325" w:rsidP="00106931">
            <w:pPr>
              <w:spacing w:after="0" w:line="240" w:lineRule="auto"/>
              <w:rPr>
                <w:rFonts w:ascii="Times New Roman" w:eastAsia="Times New Roman" w:hAnsi="Times New Roman"/>
                <w:b/>
                <w:sz w:val="18"/>
                <w:szCs w:val="18"/>
                <w:lang w:eastAsia="es-ES"/>
              </w:rPr>
            </w:pPr>
          </w:p>
          <w:p w14:paraId="0F803536"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44860DF7"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65D2A328"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CCA1AFC"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07A0D23" w14:textId="77777777" w:rsidR="00DE3325" w:rsidRDefault="00DE3325" w:rsidP="007D2464">
            <w:pPr>
              <w:spacing w:after="0" w:line="240" w:lineRule="auto"/>
              <w:rPr>
                <w:rFonts w:ascii="Times New Roman" w:eastAsia="Times New Roman" w:hAnsi="Times New Roman"/>
                <w:b/>
                <w:sz w:val="18"/>
                <w:szCs w:val="18"/>
                <w:lang w:eastAsia="es-ES"/>
              </w:rPr>
            </w:pPr>
          </w:p>
          <w:p w14:paraId="7556DE83"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20A34FE3" w14:textId="77777777" w:rsidR="00DE3325" w:rsidRDefault="00DE3325" w:rsidP="007D2464">
            <w:pPr>
              <w:spacing w:after="0" w:line="240" w:lineRule="auto"/>
              <w:rPr>
                <w:rFonts w:ascii="Times New Roman" w:eastAsia="Times New Roman" w:hAnsi="Times New Roman"/>
                <w:b/>
                <w:sz w:val="18"/>
                <w:szCs w:val="18"/>
                <w:lang w:eastAsia="es-ES"/>
              </w:rPr>
            </w:pPr>
          </w:p>
          <w:p w14:paraId="343C7A87" w14:textId="77777777" w:rsidR="00DE3325" w:rsidRDefault="00DE3325" w:rsidP="007D2464">
            <w:pPr>
              <w:spacing w:after="0" w:line="240" w:lineRule="auto"/>
              <w:rPr>
                <w:rFonts w:ascii="Times New Roman" w:eastAsia="Times New Roman" w:hAnsi="Times New Roman"/>
                <w:b/>
                <w:sz w:val="18"/>
                <w:szCs w:val="18"/>
                <w:lang w:eastAsia="es-ES"/>
              </w:rPr>
            </w:pPr>
          </w:p>
          <w:p w14:paraId="0F355653" w14:textId="77777777" w:rsidR="00DE3325" w:rsidRDefault="00DE3325" w:rsidP="007D2464">
            <w:pPr>
              <w:spacing w:after="0" w:line="240" w:lineRule="auto"/>
              <w:rPr>
                <w:rFonts w:ascii="Times New Roman" w:eastAsia="Times New Roman" w:hAnsi="Times New Roman"/>
                <w:b/>
                <w:sz w:val="18"/>
                <w:szCs w:val="18"/>
                <w:lang w:eastAsia="es-ES"/>
              </w:rPr>
            </w:pPr>
          </w:p>
          <w:p w14:paraId="0C3D7A5C" w14:textId="77777777" w:rsidR="00DE3325" w:rsidRDefault="00DE3325" w:rsidP="007D2464">
            <w:pPr>
              <w:spacing w:after="0" w:line="240" w:lineRule="auto"/>
              <w:rPr>
                <w:rFonts w:ascii="Times New Roman" w:eastAsia="Times New Roman" w:hAnsi="Times New Roman"/>
                <w:b/>
                <w:sz w:val="18"/>
                <w:szCs w:val="18"/>
                <w:lang w:eastAsia="es-ES"/>
              </w:rPr>
            </w:pPr>
          </w:p>
          <w:p w14:paraId="2D8BC47C" w14:textId="77777777" w:rsidR="00DE3325" w:rsidRDefault="00DE3325" w:rsidP="007D2464">
            <w:pPr>
              <w:spacing w:after="0" w:line="240" w:lineRule="auto"/>
              <w:rPr>
                <w:rFonts w:ascii="Times New Roman" w:eastAsia="Times New Roman" w:hAnsi="Times New Roman"/>
                <w:b/>
                <w:sz w:val="18"/>
                <w:szCs w:val="18"/>
                <w:lang w:eastAsia="es-ES"/>
              </w:rPr>
            </w:pPr>
          </w:p>
          <w:p w14:paraId="65FD9133" w14:textId="77777777" w:rsidR="00DE3325" w:rsidRDefault="00DE3325" w:rsidP="007D2464">
            <w:pPr>
              <w:spacing w:after="0" w:line="240" w:lineRule="auto"/>
              <w:rPr>
                <w:rFonts w:ascii="Times New Roman" w:eastAsia="Times New Roman" w:hAnsi="Times New Roman"/>
                <w:b/>
                <w:sz w:val="18"/>
                <w:szCs w:val="18"/>
                <w:lang w:eastAsia="es-ES"/>
              </w:rPr>
            </w:pPr>
          </w:p>
          <w:p w14:paraId="4BB84EA8" w14:textId="77777777" w:rsidR="00DE3325" w:rsidRDefault="00DE3325" w:rsidP="007D2464">
            <w:pPr>
              <w:spacing w:after="0" w:line="240" w:lineRule="auto"/>
              <w:rPr>
                <w:rFonts w:ascii="Times New Roman" w:eastAsia="Times New Roman" w:hAnsi="Times New Roman"/>
                <w:b/>
                <w:sz w:val="18"/>
                <w:szCs w:val="18"/>
                <w:lang w:eastAsia="es-ES"/>
              </w:rPr>
            </w:pPr>
          </w:p>
          <w:p w14:paraId="78AE69E8"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621D22E"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6A8913F0" w14:textId="77777777" w:rsidR="00DE3325" w:rsidRDefault="00DE3325" w:rsidP="007D2464">
            <w:pPr>
              <w:spacing w:after="0" w:line="240" w:lineRule="auto"/>
              <w:rPr>
                <w:rFonts w:ascii="Times New Roman" w:eastAsia="Times New Roman" w:hAnsi="Times New Roman"/>
                <w:b/>
                <w:sz w:val="18"/>
                <w:szCs w:val="18"/>
                <w:lang w:eastAsia="es-ES"/>
              </w:rPr>
            </w:pPr>
          </w:p>
          <w:p w14:paraId="27CEC73D" w14:textId="77777777" w:rsidR="00DE3325" w:rsidRDefault="00DE3325" w:rsidP="007D2464">
            <w:pPr>
              <w:spacing w:after="0" w:line="240" w:lineRule="auto"/>
              <w:rPr>
                <w:rFonts w:ascii="Times New Roman" w:eastAsia="Times New Roman" w:hAnsi="Times New Roman"/>
                <w:b/>
                <w:sz w:val="18"/>
                <w:szCs w:val="18"/>
                <w:lang w:eastAsia="es-ES"/>
              </w:rPr>
            </w:pPr>
          </w:p>
          <w:p w14:paraId="42BE3BF6" w14:textId="77777777" w:rsidR="00DE3325" w:rsidRDefault="00DE3325" w:rsidP="007D2464">
            <w:pPr>
              <w:spacing w:after="0" w:line="240" w:lineRule="auto"/>
              <w:rPr>
                <w:rFonts w:ascii="Times New Roman" w:eastAsia="Times New Roman" w:hAnsi="Times New Roman"/>
                <w:b/>
                <w:sz w:val="18"/>
                <w:szCs w:val="18"/>
                <w:lang w:eastAsia="es-ES"/>
              </w:rPr>
            </w:pPr>
          </w:p>
          <w:p w14:paraId="170F2D2D" w14:textId="77777777" w:rsidR="00DE3325" w:rsidRPr="007B36C4" w:rsidRDefault="00DE3325" w:rsidP="007D2464">
            <w:pPr>
              <w:spacing w:after="0" w:line="240" w:lineRule="auto"/>
              <w:rPr>
                <w:rFonts w:ascii="Times New Roman" w:eastAsia="Times New Roman" w:hAnsi="Times New Roman"/>
                <w:b/>
                <w:sz w:val="18"/>
                <w:szCs w:val="18"/>
                <w:lang w:eastAsia="es-ES"/>
              </w:rPr>
            </w:pPr>
          </w:p>
          <w:p w14:paraId="3C44E4E6"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A0E2552" w14:textId="77777777" w:rsidR="00DE3325" w:rsidRPr="008C5066" w:rsidRDefault="00DE3325" w:rsidP="007D2464">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4BBA857E" w14:textId="77777777" w:rsidR="00DE3325" w:rsidRPr="00D206E8" w:rsidRDefault="00DE3325" w:rsidP="007D2464">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4DA01049" w14:textId="77777777" w:rsidR="00DE3325" w:rsidRPr="008C5066" w:rsidRDefault="00DE3325" w:rsidP="007D2464">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109D8E60"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076BA1CA"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472A7C9A"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43FAFEF4" w14:textId="77777777" w:rsidR="00DE3325" w:rsidRPr="007B36C4" w:rsidRDefault="00DE3325" w:rsidP="007D2464">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0F13BCC5" w14:textId="77777777" w:rsidR="00DE3325" w:rsidRPr="008C5066" w:rsidRDefault="00DE3325" w:rsidP="007D2464">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033D9B26" w14:textId="77777777" w:rsidR="00DE3325" w:rsidRDefault="00DE3325" w:rsidP="007D2464">
            <w:pPr>
              <w:spacing w:after="0" w:line="240" w:lineRule="auto"/>
              <w:rPr>
                <w:rFonts w:ascii="Times New Roman" w:eastAsia="Times New Roman" w:hAnsi="Times New Roman"/>
                <w:b/>
                <w:sz w:val="18"/>
                <w:szCs w:val="18"/>
                <w:lang w:eastAsia="es-ES"/>
              </w:rPr>
            </w:pPr>
          </w:p>
          <w:p w14:paraId="6D75C284"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9B42742"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6F52EFB5" w14:textId="77777777" w:rsidR="00DE3325" w:rsidRPr="00D206E8" w:rsidRDefault="00DE3325" w:rsidP="007D246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Arq. </w:t>
            </w:r>
            <w:r w:rsidRPr="00D206E8">
              <w:rPr>
                <w:rFonts w:ascii="Times New Roman" w:eastAsia="Times New Roman" w:hAnsi="Times New Roman"/>
                <w:b/>
                <w:sz w:val="18"/>
                <w:szCs w:val="18"/>
                <w:lang w:eastAsia="es-ES"/>
              </w:rPr>
              <w:t>María Celeste Mc Garry</w:t>
            </w:r>
          </w:p>
          <w:p w14:paraId="5BC2DFB3" w14:textId="77777777" w:rsidR="00DE3325" w:rsidRPr="008C5066" w:rsidRDefault="00DE3325" w:rsidP="007D246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5E0CB410"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2864A214"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7AAB20E"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2A7DA64B" w14:textId="77777777" w:rsidR="00DE3325" w:rsidRDefault="00DE3325" w:rsidP="007D2464">
            <w:pPr>
              <w:spacing w:after="0" w:line="240" w:lineRule="auto"/>
              <w:jc w:val="center"/>
              <w:rPr>
                <w:rFonts w:ascii="Times New Roman" w:eastAsia="Times New Roman" w:hAnsi="Times New Roman"/>
                <w:b/>
                <w:sz w:val="18"/>
                <w:szCs w:val="18"/>
                <w:lang w:eastAsia="es-ES"/>
              </w:rPr>
            </w:pPr>
            <w:r w:rsidRPr="002C202F">
              <w:rPr>
                <w:rFonts w:ascii="Times New Roman" w:eastAsia="Times New Roman" w:hAnsi="Times New Roman"/>
                <w:b/>
                <w:sz w:val="18"/>
                <w:szCs w:val="18"/>
                <w:lang w:eastAsia="es-ES"/>
              </w:rPr>
              <w:t>Dra.</w:t>
            </w:r>
            <w:r>
              <w:rPr>
                <w:rFonts w:ascii="Times New Roman" w:eastAsia="Times New Roman" w:hAnsi="Times New Roman"/>
                <w:b/>
                <w:sz w:val="18"/>
                <w:szCs w:val="18"/>
                <w:lang w:eastAsia="es-ES"/>
              </w:rPr>
              <w:t xml:space="preserve"> </w:t>
            </w:r>
            <w:r w:rsidRPr="003772A7">
              <w:rPr>
                <w:rFonts w:ascii="Times New Roman" w:eastAsia="Times New Roman" w:hAnsi="Times New Roman"/>
                <w:b/>
                <w:sz w:val="18"/>
                <w:szCs w:val="18"/>
                <w:lang w:eastAsia="es-ES"/>
              </w:rPr>
              <w:t xml:space="preserve">María Isabel Radrizzani  </w:t>
            </w:r>
            <w:r w:rsidRPr="003772A7">
              <w:rPr>
                <w:rFonts w:ascii="Times New Roman" w:eastAsia="Times New Roman" w:hAnsi="Times New Roman"/>
                <w:b/>
                <w:sz w:val="18"/>
                <w:szCs w:val="18"/>
                <w:lang w:val="es-ES" w:eastAsia="es-ES_tradnl"/>
              </w:rPr>
              <w:t>Halliburton</w:t>
            </w:r>
            <w:r w:rsidRPr="003772A7">
              <w:rPr>
                <w:rFonts w:ascii="Times New Roman" w:eastAsia="Times New Roman" w:hAnsi="Times New Roman"/>
                <w:b/>
                <w:sz w:val="18"/>
                <w:szCs w:val="18"/>
                <w:lang w:eastAsia="es-ES"/>
              </w:rPr>
              <w:br/>
            </w: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3161519B" w14:textId="77777777" w:rsidR="00DE3325" w:rsidRDefault="00DE3325" w:rsidP="007D2464">
            <w:pPr>
              <w:spacing w:after="0" w:line="240" w:lineRule="auto"/>
              <w:rPr>
                <w:rFonts w:ascii="Times New Roman" w:eastAsia="Times New Roman" w:hAnsi="Times New Roman"/>
                <w:b/>
                <w:sz w:val="18"/>
                <w:szCs w:val="18"/>
                <w:lang w:eastAsia="es-ES"/>
              </w:rPr>
            </w:pPr>
          </w:p>
          <w:p w14:paraId="7D847049"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CD49D93"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63ADF062" w14:textId="77777777" w:rsidR="00DE3325" w:rsidRDefault="00DE3325" w:rsidP="007D2464">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22EBD398" w14:textId="77777777" w:rsidR="00DE3325" w:rsidRDefault="00DE3325" w:rsidP="007D2464">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4C212896"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2F1EEF70"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0D47992"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0248C6BC"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CFCD4F7" w14:textId="77777777" w:rsidR="00DE3325" w:rsidRDefault="00DE3325" w:rsidP="007D2464">
            <w:pPr>
              <w:tabs>
                <w:tab w:val="left" w:pos="245"/>
                <w:tab w:val="center" w:pos="1178"/>
              </w:tabs>
              <w:spacing w:after="0" w:line="240" w:lineRule="auto"/>
              <w:rPr>
                <w:rFonts w:ascii="Times New Roman" w:eastAsia="Times New Roman" w:hAnsi="Times New Roman"/>
                <w:b/>
                <w:sz w:val="18"/>
                <w:szCs w:val="18"/>
                <w:lang w:eastAsia="es-ES"/>
              </w:rPr>
            </w:pPr>
          </w:p>
          <w:p w14:paraId="4A82EA30" w14:textId="77777777" w:rsidR="00DE3325" w:rsidRDefault="00DE3325" w:rsidP="007D2464">
            <w:pPr>
              <w:tabs>
                <w:tab w:val="left" w:pos="245"/>
                <w:tab w:val="center" w:pos="1178"/>
              </w:tabs>
              <w:spacing w:after="0" w:line="240" w:lineRule="auto"/>
              <w:rPr>
                <w:rFonts w:ascii="Times New Roman" w:eastAsia="Times New Roman" w:hAnsi="Times New Roman"/>
                <w:b/>
                <w:sz w:val="18"/>
                <w:szCs w:val="18"/>
                <w:lang w:eastAsia="es-ES"/>
              </w:rPr>
            </w:pPr>
          </w:p>
          <w:p w14:paraId="1B5F17D8" w14:textId="77777777" w:rsidR="00DE3325" w:rsidRDefault="00DE3325" w:rsidP="007D2464">
            <w:pPr>
              <w:tabs>
                <w:tab w:val="left" w:pos="245"/>
                <w:tab w:val="center" w:pos="1178"/>
              </w:tabs>
              <w:spacing w:after="0" w:line="240" w:lineRule="auto"/>
              <w:rPr>
                <w:rFonts w:ascii="Times New Roman" w:eastAsia="Times New Roman" w:hAnsi="Times New Roman"/>
                <w:b/>
                <w:sz w:val="18"/>
                <w:szCs w:val="18"/>
                <w:lang w:eastAsia="es-ES"/>
              </w:rPr>
            </w:pPr>
          </w:p>
          <w:p w14:paraId="2A227C3B" w14:textId="77777777" w:rsidR="00DE3325" w:rsidRDefault="00DE3325" w:rsidP="007D2464">
            <w:pPr>
              <w:tabs>
                <w:tab w:val="left" w:pos="245"/>
                <w:tab w:val="center" w:pos="1178"/>
              </w:tabs>
              <w:spacing w:after="0" w:line="240" w:lineRule="auto"/>
              <w:rPr>
                <w:rFonts w:ascii="Times New Roman" w:eastAsia="Times New Roman" w:hAnsi="Times New Roman"/>
                <w:b/>
                <w:sz w:val="18"/>
                <w:szCs w:val="18"/>
                <w:lang w:eastAsia="es-ES"/>
              </w:rPr>
            </w:pPr>
          </w:p>
          <w:p w14:paraId="0804B735"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7F52294"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23C55B1"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6FB03D8A"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735D9F5" w14:textId="77777777" w:rsidR="00DE3325" w:rsidRDefault="00DE3325" w:rsidP="007D2464">
            <w:pPr>
              <w:spacing w:after="0" w:line="240" w:lineRule="auto"/>
              <w:rPr>
                <w:rFonts w:ascii="Times New Roman" w:eastAsia="Times New Roman" w:hAnsi="Times New Roman"/>
                <w:b/>
                <w:sz w:val="18"/>
                <w:szCs w:val="18"/>
                <w:lang w:eastAsia="es-ES"/>
              </w:rPr>
            </w:pPr>
          </w:p>
          <w:p w14:paraId="47F76B8A"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79E5574F"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6E536B28" w14:textId="77777777" w:rsidR="00DE3325" w:rsidRPr="008C5066" w:rsidRDefault="00DE3325" w:rsidP="007D2464">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1142C84F" w14:textId="77777777" w:rsidR="00DE3325" w:rsidRPr="004D5BEF" w:rsidRDefault="00DE3325" w:rsidP="007D2464">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4A0B2C08" w14:textId="77777777" w:rsidR="00DE3325" w:rsidRPr="004D5BEF" w:rsidRDefault="00DE3325" w:rsidP="007D2464">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29A504A0" w14:textId="77777777" w:rsidR="00DE3325" w:rsidRDefault="00DE3325" w:rsidP="007D2464">
            <w:pPr>
              <w:spacing w:after="0" w:line="240" w:lineRule="auto"/>
              <w:rPr>
                <w:rFonts w:ascii="Times New Roman" w:eastAsia="Times New Roman" w:hAnsi="Times New Roman"/>
                <w:b/>
                <w:sz w:val="18"/>
                <w:szCs w:val="18"/>
                <w:lang w:eastAsia="es-ES"/>
              </w:rPr>
            </w:pPr>
          </w:p>
          <w:p w14:paraId="3AAF402C"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703DADD9"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0943642F" w14:textId="77777777" w:rsidR="00DE3325" w:rsidRPr="008C5066" w:rsidRDefault="00DE3325" w:rsidP="007D2464">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79670669" w14:textId="77777777" w:rsidR="00DE3325" w:rsidRDefault="00DE3325" w:rsidP="007D246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006DD1D9"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1018344C" w14:textId="77777777" w:rsidR="00DE3325" w:rsidRDefault="00DE3325" w:rsidP="007D2464">
            <w:pPr>
              <w:spacing w:after="0" w:line="240" w:lineRule="auto"/>
              <w:rPr>
                <w:rFonts w:ascii="Times New Roman" w:eastAsia="Times New Roman" w:hAnsi="Times New Roman"/>
                <w:b/>
                <w:sz w:val="18"/>
                <w:szCs w:val="18"/>
                <w:lang w:eastAsia="es-ES"/>
              </w:rPr>
            </w:pPr>
          </w:p>
          <w:p w14:paraId="0B9AFF83"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448F089" w14:textId="77777777" w:rsidR="00DE3325" w:rsidRDefault="00DE3325" w:rsidP="007D2464">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0D4092D9" w14:textId="77777777" w:rsidR="00DE3325" w:rsidRPr="003772A7" w:rsidRDefault="00DE3325" w:rsidP="007D2464">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014E4D2D"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3F36F9F"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1D0DEA0D"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9D8B80C" w14:textId="77777777" w:rsidR="00DE3325" w:rsidRPr="003772A7" w:rsidRDefault="00DE3325" w:rsidP="007D2464">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4A1972D9"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4D57BFC1"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A642F8C"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080DEEF"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AF53ED4"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0D783A36"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85DF25F"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27280EAA"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46C755AA"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682E46A7"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52596416"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4A617DA7"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191E4B75"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A418E89"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0005FF1B"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0118606A"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1F377F6E"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2F205394"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06332EE9"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749B4176"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032B3B24"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2C887D84" w14:textId="77777777" w:rsidR="00DE3325" w:rsidRPr="008C5066" w:rsidRDefault="00DE3325" w:rsidP="007D2464">
            <w:pPr>
              <w:spacing w:after="0" w:line="240" w:lineRule="auto"/>
              <w:jc w:val="center"/>
              <w:rPr>
                <w:rFonts w:ascii="Times New Roman" w:eastAsia="Times New Roman" w:hAnsi="Times New Roman"/>
                <w:b/>
                <w:sz w:val="18"/>
                <w:szCs w:val="18"/>
                <w:lang w:eastAsia="es-ES"/>
              </w:rPr>
            </w:pPr>
          </w:p>
          <w:p w14:paraId="0B43F598"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49317B05"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0A494E81"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9555C9E" w14:textId="77777777" w:rsidR="00DE3325" w:rsidRDefault="00DE3325" w:rsidP="007D2464">
            <w:pPr>
              <w:spacing w:after="0" w:line="240" w:lineRule="auto"/>
              <w:rPr>
                <w:rFonts w:ascii="Times New Roman" w:eastAsia="Times New Roman" w:hAnsi="Times New Roman"/>
                <w:b/>
                <w:sz w:val="18"/>
                <w:szCs w:val="18"/>
                <w:lang w:eastAsia="es-ES"/>
              </w:rPr>
            </w:pPr>
          </w:p>
          <w:p w14:paraId="1ACEE441" w14:textId="77777777" w:rsidR="00DE3325" w:rsidRDefault="00DE3325" w:rsidP="007D2464">
            <w:pPr>
              <w:tabs>
                <w:tab w:val="left" w:pos="245"/>
                <w:tab w:val="center" w:pos="1178"/>
              </w:tabs>
              <w:spacing w:after="0" w:line="240" w:lineRule="auto"/>
              <w:rPr>
                <w:rFonts w:ascii="Times New Roman" w:eastAsia="Times New Roman" w:hAnsi="Times New Roman"/>
                <w:b/>
                <w:sz w:val="18"/>
                <w:szCs w:val="18"/>
                <w:lang w:eastAsia="es-ES"/>
              </w:rPr>
            </w:pPr>
          </w:p>
          <w:p w14:paraId="0E1756B3"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3065D6A3" w14:textId="77777777" w:rsidR="00DE3325" w:rsidRDefault="00DE3325" w:rsidP="007D2464">
            <w:pPr>
              <w:spacing w:after="0" w:line="240" w:lineRule="auto"/>
              <w:jc w:val="center"/>
              <w:rPr>
                <w:rFonts w:ascii="Times New Roman" w:eastAsia="Times New Roman" w:hAnsi="Times New Roman"/>
                <w:b/>
                <w:sz w:val="18"/>
                <w:szCs w:val="18"/>
                <w:lang w:eastAsia="es-ES"/>
              </w:rPr>
            </w:pPr>
          </w:p>
          <w:p w14:paraId="4DE7FB3D" w14:textId="77777777" w:rsidR="00DE3325" w:rsidRDefault="00DE3325" w:rsidP="007D2464">
            <w:pPr>
              <w:spacing w:after="0" w:line="240" w:lineRule="auto"/>
              <w:rPr>
                <w:rFonts w:ascii="Times New Roman" w:eastAsia="Times New Roman" w:hAnsi="Times New Roman"/>
                <w:b/>
                <w:sz w:val="18"/>
                <w:szCs w:val="18"/>
                <w:lang w:eastAsia="es-ES"/>
              </w:rPr>
            </w:pPr>
          </w:p>
          <w:p w14:paraId="579E2CB3" w14:textId="77777777" w:rsidR="00DE3325" w:rsidRPr="008C5066" w:rsidRDefault="00DE3325" w:rsidP="007D2464">
            <w:pPr>
              <w:spacing w:after="0" w:line="240" w:lineRule="auto"/>
              <w:rPr>
                <w:rFonts w:ascii="Times New Roman" w:eastAsia="Times New Roman" w:hAnsi="Times New Roman"/>
                <w:b/>
                <w:sz w:val="18"/>
                <w:szCs w:val="18"/>
                <w:lang w:eastAsia="es-ES"/>
              </w:rPr>
            </w:pPr>
          </w:p>
          <w:p w14:paraId="6A25AB30" w14:textId="77777777" w:rsidR="00DE3325" w:rsidRPr="008C5066" w:rsidRDefault="00DE3325" w:rsidP="007D246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3C3BFDF2" w14:textId="3B2C9B61" w:rsidR="001E5BFB" w:rsidRDefault="001E5BFB" w:rsidP="002B4C6C">
      <w:pPr>
        <w:spacing w:after="0" w:line="240" w:lineRule="auto"/>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15:restartNumberingAfterBreak="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1955"/>
    <w:rsid w:val="00045518"/>
    <w:rsid w:val="00046F44"/>
    <w:rsid w:val="0004791B"/>
    <w:rsid w:val="00050D84"/>
    <w:rsid w:val="000556A5"/>
    <w:rsid w:val="00055952"/>
    <w:rsid w:val="00056E13"/>
    <w:rsid w:val="00060984"/>
    <w:rsid w:val="00072798"/>
    <w:rsid w:val="00072BDB"/>
    <w:rsid w:val="00090F4C"/>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23D8"/>
    <w:rsid w:val="000D3EDD"/>
    <w:rsid w:val="000D4F17"/>
    <w:rsid w:val="000D5C5B"/>
    <w:rsid w:val="000E7216"/>
    <w:rsid w:val="000F655E"/>
    <w:rsid w:val="00100A42"/>
    <w:rsid w:val="00106931"/>
    <w:rsid w:val="001142CD"/>
    <w:rsid w:val="0012000E"/>
    <w:rsid w:val="00121BED"/>
    <w:rsid w:val="00125F2F"/>
    <w:rsid w:val="001323B6"/>
    <w:rsid w:val="00133008"/>
    <w:rsid w:val="00140099"/>
    <w:rsid w:val="00140871"/>
    <w:rsid w:val="00152450"/>
    <w:rsid w:val="001546DE"/>
    <w:rsid w:val="0015645C"/>
    <w:rsid w:val="00160271"/>
    <w:rsid w:val="0016712E"/>
    <w:rsid w:val="00170ACC"/>
    <w:rsid w:val="00176C02"/>
    <w:rsid w:val="001820BD"/>
    <w:rsid w:val="001925C3"/>
    <w:rsid w:val="00195A3C"/>
    <w:rsid w:val="001B06B3"/>
    <w:rsid w:val="001B1462"/>
    <w:rsid w:val="001B221B"/>
    <w:rsid w:val="001B2AD7"/>
    <w:rsid w:val="001B3212"/>
    <w:rsid w:val="001B3A67"/>
    <w:rsid w:val="001B3E60"/>
    <w:rsid w:val="001D601B"/>
    <w:rsid w:val="001D618E"/>
    <w:rsid w:val="001E2E19"/>
    <w:rsid w:val="001E5AF8"/>
    <w:rsid w:val="001E5BFB"/>
    <w:rsid w:val="001F5DA1"/>
    <w:rsid w:val="0020653A"/>
    <w:rsid w:val="00206EF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27EF"/>
    <w:rsid w:val="003A3523"/>
    <w:rsid w:val="003A43C5"/>
    <w:rsid w:val="003A4B26"/>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02A9"/>
    <w:rsid w:val="0047513A"/>
    <w:rsid w:val="0047721F"/>
    <w:rsid w:val="004807B4"/>
    <w:rsid w:val="0049006F"/>
    <w:rsid w:val="0049044D"/>
    <w:rsid w:val="00493711"/>
    <w:rsid w:val="004A1C7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E5857"/>
    <w:rsid w:val="005F3CEF"/>
    <w:rsid w:val="005F5566"/>
    <w:rsid w:val="005F67A6"/>
    <w:rsid w:val="00600C12"/>
    <w:rsid w:val="00611E0F"/>
    <w:rsid w:val="0061279C"/>
    <w:rsid w:val="0061734D"/>
    <w:rsid w:val="00617F9E"/>
    <w:rsid w:val="00620411"/>
    <w:rsid w:val="00623AC6"/>
    <w:rsid w:val="00625490"/>
    <w:rsid w:val="00625CD7"/>
    <w:rsid w:val="00626C35"/>
    <w:rsid w:val="0063158A"/>
    <w:rsid w:val="00632BAC"/>
    <w:rsid w:val="006427BC"/>
    <w:rsid w:val="0064402F"/>
    <w:rsid w:val="00645A43"/>
    <w:rsid w:val="00645D36"/>
    <w:rsid w:val="00647401"/>
    <w:rsid w:val="00655700"/>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C48D5"/>
    <w:rsid w:val="006D197F"/>
    <w:rsid w:val="006D4418"/>
    <w:rsid w:val="006D66F2"/>
    <w:rsid w:val="006E02C4"/>
    <w:rsid w:val="006E29C6"/>
    <w:rsid w:val="006F5CB1"/>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2C5E"/>
    <w:rsid w:val="009E3BEB"/>
    <w:rsid w:val="009E468B"/>
    <w:rsid w:val="009F1571"/>
    <w:rsid w:val="009F250F"/>
    <w:rsid w:val="009F4BEC"/>
    <w:rsid w:val="009F5843"/>
    <w:rsid w:val="00A01455"/>
    <w:rsid w:val="00A04B52"/>
    <w:rsid w:val="00A056F2"/>
    <w:rsid w:val="00A05B2F"/>
    <w:rsid w:val="00A05C13"/>
    <w:rsid w:val="00A07652"/>
    <w:rsid w:val="00A125F5"/>
    <w:rsid w:val="00A145F4"/>
    <w:rsid w:val="00A15229"/>
    <w:rsid w:val="00A2459A"/>
    <w:rsid w:val="00A25742"/>
    <w:rsid w:val="00A30E6D"/>
    <w:rsid w:val="00A40CAC"/>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97D5A"/>
    <w:rsid w:val="00AA2DF1"/>
    <w:rsid w:val="00AB1B6E"/>
    <w:rsid w:val="00AB2D0F"/>
    <w:rsid w:val="00AB45C9"/>
    <w:rsid w:val="00AD4D27"/>
    <w:rsid w:val="00AD5759"/>
    <w:rsid w:val="00AE19F1"/>
    <w:rsid w:val="00AE1B19"/>
    <w:rsid w:val="00AE26AB"/>
    <w:rsid w:val="00AF0EDD"/>
    <w:rsid w:val="00AF1C9A"/>
    <w:rsid w:val="00AF5B98"/>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E2929"/>
    <w:rsid w:val="00BE2DE4"/>
    <w:rsid w:val="00BE3C45"/>
    <w:rsid w:val="00BE508D"/>
    <w:rsid w:val="00BE760D"/>
    <w:rsid w:val="00BF099A"/>
    <w:rsid w:val="00BF3ED4"/>
    <w:rsid w:val="00BF5C03"/>
    <w:rsid w:val="00BF7AFC"/>
    <w:rsid w:val="00C114EB"/>
    <w:rsid w:val="00C1242B"/>
    <w:rsid w:val="00C1389A"/>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6F92"/>
    <w:rsid w:val="00C70227"/>
    <w:rsid w:val="00C71BBF"/>
    <w:rsid w:val="00C73002"/>
    <w:rsid w:val="00C74065"/>
    <w:rsid w:val="00C84A9B"/>
    <w:rsid w:val="00C853BE"/>
    <w:rsid w:val="00C9043A"/>
    <w:rsid w:val="00CA5C2C"/>
    <w:rsid w:val="00CA69DD"/>
    <w:rsid w:val="00CA6DC0"/>
    <w:rsid w:val="00CA7524"/>
    <w:rsid w:val="00CB1406"/>
    <w:rsid w:val="00CB46E2"/>
    <w:rsid w:val="00CC494F"/>
    <w:rsid w:val="00CC663A"/>
    <w:rsid w:val="00CC66F8"/>
    <w:rsid w:val="00CC79FC"/>
    <w:rsid w:val="00CD1F96"/>
    <w:rsid w:val="00CE7C43"/>
    <w:rsid w:val="00CF00A6"/>
    <w:rsid w:val="00CF63B5"/>
    <w:rsid w:val="00D00374"/>
    <w:rsid w:val="00D02151"/>
    <w:rsid w:val="00D062E4"/>
    <w:rsid w:val="00D06D6E"/>
    <w:rsid w:val="00D12D9B"/>
    <w:rsid w:val="00D1313C"/>
    <w:rsid w:val="00D13F69"/>
    <w:rsid w:val="00D17273"/>
    <w:rsid w:val="00D1762B"/>
    <w:rsid w:val="00D20806"/>
    <w:rsid w:val="00D21300"/>
    <w:rsid w:val="00D23078"/>
    <w:rsid w:val="00D26242"/>
    <w:rsid w:val="00D31751"/>
    <w:rsid w:val="00D3261F"/>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E3325"/>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E7E47"/>
    <w:rsid w:val="00EF0C86"/>
    <w:rsid w:val="00EF1121"/>
    <w:rsid w:val="00EF493A"/>
    <w:rsid w:val="00EF5D2D"/>
    <w:rsid w:val="00F001B3"/>
    <w:rsid w:val="00F0038C"/>
    <w:rsid w:val="00F00A58"/>
    <w:rsid w:val="00F01C50"/>
    <w:rsid w:val="00F06CD3"/>
    <w:rsid w:val="00F15AF9"/>
    <w:rsid w:val="00F17410"/>
    <w:rsid w:val="00F239D8"/>
    <w:rsid w:val="00F26151"/>
    <w:rsid w:val="00F30232"/>
    <w:rsid w:val="00F308A6"/>
    <w:rsid w:val="00F3653B"/>
    <w:rsid w:val="00F36A60"/>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86904764">
      <w:bodyDiv w:val="1"/>
      <w:marLeft w:val="0"/>
      <w:marRight w:val="0"/>
      <w:marTop w:val="0"/>
      <w:marBottom w:val="0"/>
      <w:divBdr>
        <w:top w:val="none" w:sz="0" w:space="0" w:color="auto"/>
        <w:left w:val="none" w:sz="0" w:space="0" w:color="auto"/>
        <w:bottom w:val="none" w:sz="0" w:space="0" w:color="auto"/>
        <w:right w:val="none" w:sz="0" w:space="0" w:color="auto"/>
      </w:divBdr>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A6215-EFCE-4D22-B35B-D8EBA07FF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967</Words>
  <Characters>5320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Maria Nelida Regner</cp:lastModifiedBy>
  <cp:revision>13</cp:revision>
  <cp:lastPrinted>2023-07-04T11:34:00Z</cp:lastPrinted>
  <dcterms:created xsi:type="dcterms:W3CDTF">2023-04-24T13:40:00Z</dcterms:created>
  <dcterms:modified xsi:type="dcterms:W3CDTF">2023-07-04T11:35:00Z</dcterms:modified>
</cp:coreProperties>
</file>